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73429B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73429B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03D75" w:rsidRDefault="00FC47BC" w:rsidP="0026289F">
      <w:pPr>
        <w:jc w:val="both"/>
        <w:rPr>
          <w:rFonts w:asciiTheme="minorHAnsi" w:hAnsiTheme="minorHAnsi"/>
          <w:b/>
          <w:bCs/>
          <w:szCs w:val="22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4038FC" w:rsidRPr="00F03D75" w:rsidTr="004B6FE6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Nombre del Indicad</w:t>
            </w:r>
            <w:bookmarkStart w:id="0" w:name="_GoBack"/>
            <w:bookmarkEnd w:id="0"/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or</w:t>
            </w:r>
          </w:p>
        </w:tc>
        <w:tc>
          <w:tcPr>
            <w:tcW w:w="6379" w:type="dxa"/>
          </w:tcPr>
          <w:p w:rsidR="004038FC" w:rsidRPr="00F03D75" w:rsidRDefault="00547374" w:rsidP="00105CCA">
            <w:pPr>
              <w:autoSpaceDE w:val="0"/>
              <w:autoSpaceDN w:val="0"/>
              <w:adjustRightInd w:val="0"/>
              <w:cnfStyle w:val="10000000000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>mero de Nacidos Vivos</w:t>
            </w:r>
            <w:r w:rsidR="00B41A5D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(registro oportuno)</w:t>
            </w:r>
            <w:r w:rsidR="009850EF" w:rsidRPr="00F03D75">
              <w:rPr>
                <w:rFonts w:asciiTheme="minorHAnsi" w:hAnsiTheme="minorHAnsi" w:cs="Helvetica"/>
                <w:b w:val="0"/>
                <w:bCs w:val="0"/>
                <w:color w:val="000000"/>
                <w:sz w:val="20"/>
              </w:rPr>
              <w:t xml:space="preserve"> 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Operación Estadística</w:t>
            </w:r>
          </w:p>
        </w:tc>
        <w:tc>
          <w:tcPr>
            <w:tcW w:w="6379" w:type="dxa"/>
          </w:tcPr>
          <w:p w:rsidR="004038FC" w:rsidRPr="00F03D75" w:rsidRDefault="00F03D75" w:rsidP="003C4DD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Theme="minorHAnsi" w:hAnsiTheme="minorHAnsi"/>
                <w:sz w:val="20"/>
              </w:rPr>
            </w:pPr>
            <w:r w:rsidRPr="00F03D75">
              <w:rPr>
                <w:rFonts w:asciiTheme="minorHAnsi" w:eastAsiaTheme="minorHAnsi" w:hAnsiTheme="minorHAnsi"/>
                <w:sz w:val="20"/>
              </w:rPr>
              <w:t>Registros Administrativos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Definición del Indicador</w:t>
            </w:r>
          </w:p>
        </w:tc>
        <w:tc>
          <w:tcPr>
            <w:tcW w:w="6379" w:type="dxa"/>
          </w:tcPr>
          <w:p w:rsidR="004038FC" w:rsidRPr="00F03D75" w:rsidRDefault="003C4DDF" w:rsidP="003C4DDF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Representa, el n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úmero de nacidos vivos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ocurridos 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y registrados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en un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período, generalmente de un 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año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Unidad de Medida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Cs/>
                <w:sz w:val="20"/>
                <w:lang w:val="es-CL"/>
              </w:rPr>
            </w:pPr>
          </w:p>
          <w:p w:rsidR="004038FC" w:rsidRPr="00F03D75" w:rsidRDefault="003C4DDF" w:rsidP="004038F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Arial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Nú</w:t>
            </w:r>
            <w:r w:rsidR="004038FC" w:rsidRPr="00F03D75">
              <w:rPr>
                <w:rFonts w:asciiTheme="minorHAnsi" w:hAnsiTheme="minorHAnsi" w:cs="Helvetica"/>
                <w:color w:val="000000"/>
                <w:sz w:val="20"/>
              </w:rPr>
              <w:t>mero</w:t>
            </w: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Fórmula de Cálculo del Indicador</w:t>
            </w:r>
          </w:p>
        </w:tc>
        <w:tc>
          <w:tcPr>
            <w:tcW w:w="6379" w:type="dxa"/>
          </w:tcPr>
          <w:p w:rsidR="004038FC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  <w:lang w:val="es-CL"/>
              </w:rPr>
              <w:t>∑ nú</w:t>
            </w:r>
            <w:r w:rsidR="00105CCA">
              <w:rPr>
                <w:rFonts w:asciiTheme="minorHAnsi" w:hAnsiTheme="minorHAnsi"/>
                <w:sz w:val="20"/>
                <w:lang w:val="es-CL"/>
              </w:rPr>
              <w:t>mero de nacidos vivos</w:t>
            </w:r>
          </w:p>
        </w:tc>
      </w:tr>
      <w:tr w:rsidR="004038FC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Definición de las variables que componen el indicador</w:t>
            </w:r>
          </w:p>
          <w:p w:rsidR="004038FC" w:rsidRPr="00F03D75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/>
                <w:b/>
                <w:sz w:val="20"/>
              </w:rPr>
              <w:t>Nacido vivo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: Es la expulsión o extracción completa del cuerpo de su madre, independientemente de la duración del embarazo, de un producto de la concepción que, después de dicha separación, respire o de cualquier otra señal de vida, como latidos del corazón, pulsaciones del cordón </w:t>
            </w:r>
            <w:r w:rsidRPr="00F03D75">
              <w:rPr>
                <w:rFonts w:asciiTheme="minorHAnsi" w:hAnsiTheme="minorHAnsi"/>
                <w:sz w:val="20"/>
              </w:rPr>
              <w:t xml:space="preserve"> 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umbilical o movimientos efectivos de los músculos de contracción voluntaria, tanto si se ha cortado o no el cordón umbilical y está o no desprendida la placenta.  Cada producto de un nacimiento que reúna esas condiciones se considera como un nacido vivo.</w:t>
            </w:r>
          </w:p>
          <w:p w:rsidR="004038FC" w:rsidRPr="00F03D75" w:rsidRDefault="004038FC" w:rsidP="00C0466B">
            <w:pPr>
              <w:jc w:val="both"/>
              <w:cnfStyle w:val="00000010000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</w:tr>
      <w:tr w:rsidR="004038FC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038FC" w:rsidRPr="00825FEE" w:rsidRDefault="004038FC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auto"/>
                <w:szCs w:val="22"/>
              </w:rPr>
              <w:t>Interpretación del Indicador</w:t>
            </w:r>
          </w:p>
        </w:tc>
        <w:tc>
          <w:tcPr>
            <w:tcW w:w="6379" w:type="dxa"/>
          </w:tcPr>
          <w:p w:rsidR="004038FC" w:rsidRPr="00F03D75" w:rsidRDefault="004038FC" w:rsidP="004038F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En el Ecuador e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n el 2010, se registraron 219.162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nacimientos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.</w:t>
            </w:r>
          </w:p>
        </w:tc>
      </w:tr>
      <w:tr w:rsidR="00F91A91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91A91" w:rsidRPr="00825FEE" w:rsidRDefault="00F91A91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Cs w:val="22"/>
              </w:rPr>
            </w:pPr>
            <w:r w:rsidRPr="00825FEE">
              <w:rPr>
                <w:rFonts w:asciiTheme="minorHAnsi" w:hAnsiTheme="minorHAnsi"/>
                <w:color w:val="000000" w:themeColor="text1"/>
                <w:szCs w:val="22"/>
              </w:rPr>
              <w:t>Fuente de información</w:t>
            </w:r>
          </w:p>
        </w:tc>
        <w:tc>
          <w:tcPr>
            <w:tcW w:w="6379" w:type="dxa"/>
          </w:tcPr>
          <w:p w:rsidR="00F03D75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F91A91" w:rsidRPr="00F03D75" w:rsidRDefault="00F03D75" w:rsidP="00F03D7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F91A91" w:rsidRPr="00F03D75" w:rsidTr="004B6FE6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91A91" w:rsidRPr="00F03D75" w:rsidRDefault="00F91A91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Fuente de datos</w:t>
            </w:r>
          </w:p>
        </w:tc>
        <w:tc>
          <w:tcPr>
            <w:tcW w:w="6379" w:type="dxa"/>
          </w:tcPr>
          <w:p w:rsidR="00F91A91" w:rsidRPr="00F03D75" w:rsidRDefault="00D6674E" w:rsidP="00720872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B216F8">
              <w:rPr>
                <w:rFonts w:asciiTheme="minorHAnsi" w:hAnsiTheme="minorHAnsi" w:cs="Helvetica"/>
                <w:color w:val="000000"/>
                <w:sz w:val="20"/>
              </w:rPr>
              <w:t xml:space="preserve">Registros administrativos (Oficinas de Registro Civil, Identificación y Cedulación)  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-  Estadística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 xml:space="preserve"> de Nacimientos y Defunciones  (</w:t>
            </w:r>
            <w:r>
              <w:rPr>
                <w:rFonts w:asciiTheme="minorHAnsi" w:hAnsiTheme="minorHAnsi" w:cs="Helvetica"/>
                <w:color w:val="000000"/>
                <w:sz w:val="20"/>
              </w:rPr>
              <w:t>INEC</w:t>
            </w:r>
            <w:r w:rsidR="00594236">
              <w:rPr>
                <w:rFonts w:asciiTheme="minorHAnsi" w:hAnsiTheme="minorHAnsi" w:cs="Helvetica"/>
                <w:color w:val="000000"/>
                <w:sz w:val="20"/>
              </w:rPr>
              <w:t>)</w:t>
            </w:r>
          </w:p>
        </w:tc>
      </w:tr>
      <w:tr w:rsidR="004038FC" w:rsidRPr="00F03D75" w:rsidTr="004B6FE6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Periodo de Cobertura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De enero a diciembre</w:t>
            </w:r>
            <w:r w:rsidR="00B41A5D" w:rsidRPr="00F03D75">
              <w:rPr>
                <w:rFonts w:asciiTheme="minorHAnsi" w:hAnsiTheme="minorHAnsi" w:cs="Helvetica"/>
                <w:color w:val="000000"/>
                <w:sz w:val="20"/>
              </w:rPr>
              <w:t>,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del año investigado</w:t>
            </w:r>
          </w:p>
        </w:tc>
      </w:tr>
      <w:tr w:rsidR="004038FC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color w:val="000000" w:themeColor="text1"/>
                <w:szCs w:val="22"/>
              </w:rPr>
              <w:t>Desagregaciones</w:t>
            </w:r>
          </w:p>
        </w:tc>
        <w:tc>
          <w:tcPr>
            <w:tcW w:w="6379" w:type="dxa"/>
          </w:tcPr>
          <w:p w:rsidR="004038FC" w:rsidRPr="00F03D75" w:rsidRDefault="004038FC" w:rsidP="00C0466B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Nacional, provincial, cantonal, parroquial</w:t>
            </w:r>
          </w:p>
        </w:tc>
      </w:tr>
      <w:tr w:rsidR="004038FC" w:rsidRPr="00F03D75" w:rsidTr="004B6FE6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4038FC" w:rsidRPr="00F03D75" w:rsidRDefault="004038FC" w:rsidP="0026289F">
            <w:pPr>
              <w:jc w:val="both"/>
              <w:rPr>
                <w:rFonts w:asciiTheme="minorHAnsi" w:hAnsiTheme="minorHAnsi"/>
                <w:color w:val="000000" w:themeColor="text1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038FC" w:rsidRDefault="004110E0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1985-2010</w:t>
            </w:r>
            <w:r w:rsidR="00AF5F35">
              <w:rPr>
                <w:rFonts w:asciiTheme="minorHAnsi" w:hAnsiTheme="minorHAnsi" w:cs="Helvetica"/>
                <w:color w:val="000000"/>
                <w:sz w:val="20"/>
              </w:rPr>
              <w:t>*</w:t>
            </w:r>
          </w:p>
          <w:p w:rsidR="00AF5F3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  <w:p w:rsidR="00AF5F35" w:rsidRPr="00F03D75" w:rsidRDefault="00AF5F35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*Disponible en archivos físicos y</w:t>
            </w:r>
            <w:r w:rsidR="00324918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 xml:space="preserve"> electrónicos.</w:t>
            </w:r>
          </w:p>
        </w:tc>
      </w:tr>
      <w:tr w:rsidR="00B41A5D" w:rsidRPr="00F03D75" w:rsidTr="004B6FE6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Limitaciones</w:t>
            </w:r>
          </w:p>
        </w:tc>
        <w:tc>
          <w:tcPr>
            <w:tcW w:w="6379" w:type="dxa"/>
          </w:tcPr>
          <w:p w:rsidR="00B41A5D" w:rsidRPr="00F03D75" w:rsidRDefault="00B41A5D" w:rsidP="00B41A5D">
            <w:pPr>
              <w:jc w:val="both"/>
              <w:cnfStyle w:val="000000010000"/>
              <w:rPr>
                <w:rFonts w:asciiTheme="minorHAnsi" w:hAnsiTheme="minorHAnsi"/>
                <w:sz w:val="20"/>
                <w:lang w:val="es-CL"/>
              </w:rPr>
            </w:pPr>
            <w:r w:rsidRPr="00F03D75">
              <w:rPr>
                <w:rFonts w:asciiTheme="minorHAnsi" w:hAnsiTheme="minorHAnsi"/>
                <w:sz w:val="20"/>
              </w:rPr>
              <w:t>U</w:t>
            </w:r>
            <w:proofErr w:type="spellStart"/>
            <w:r w:rsidRPr="00F03D75">
              <w:rPr>
                <w:rFonts w:asciiTheme="minorHAnsi" w:hAnsiTheme="minorHAnsi"/>
                <w:sz w:val="20"/>
                <w:lang w:val="es-CL"/>
              </w:rPr>
              <w:t>na</w:t>
            </w:r>
            <w:proofErr w:type="spellEnd"/>
            <w:r w:rsidRPr="00F03D75">
              <w:rPr>
                <w:rFonts w:asciiTheme="minorHAnsi" w:hAnsiTheme="minorHAnsi"/>
                <w:sz w:val="20"/>
                <w:lang w:val="es-CL"/>
              </w:rPr>
              <w:t xml:space="preserve"> parte de los nacimientos ocurridos en el año, no son registrados el mismo año al que corresponde el período de investigación</w:t>
            </w:r>
            <w:r w:rsidR="00531F24" w:rsidRPr="00F03D75">
              <w:rPr>
                <w:rFonts w:asciiTheme="minorHAnsi" w:hAnsiTheme="minorHAnsi"/>
                <w:sz w:val="20"/>
                <w:lang w:val="es-CL"/>
              </w:rPr>
              <w:t xml:space="preserve"> (registros tardíos).</w:t>
            </w:r>
          </w:p>
        </w:tc>
      </w:tr>
      <w:tr w:rsidR="00B41A5D" w:rsidRPr="00F03D75" w:rsidTr="004B6FE6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B41A5D" w:rsidRPr="00F03D75" w:rsidRDefault="00B41A5D" w:rsidP="00720872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 xml:space="preserve">Periodicidad de </w:t>
            </w:r>
            <w:r w:rsidR="00720872">
              <w:rPr>
                <w:rFonts w:asciiTheme="minorHAnsi" w:hAnsiTheme="minorHAnsi"/>
                <w:szCs w:val="22"/>
              </w:rPr>
              <w:t>producción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Anual</w:t>
            </w:r>
          </w:p>
        </w:tc>
      </w:tr>
      <w:tr w:rsidR="00B41A5D" w:rsidRPr="00F03D75" w:rsidTr="004B6FE6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B41A5D" w:rsidRPr="00F03D75" w:rsidRDefault="00B41A5D" w:rsidP="0026289F">
            <w:pPr>
              <w:jc w:val="both"/>
              <w:rPr>
                <w:rFonts w:asciiTheme="minorHAnsi" w:hAnsiTheme="minorHAnsi"/>
                <w:szCs w:val="22"/>
              </w:rPr>
            </w:pPr>
            <w:r w:rsidRPr="00F03D75">
              <w:rPr>
                <w:rFonts w:asciiTheme="minorHAnsi" w:hAnsiTheme="minorHAnsi"/>
                <w:szCs w:val="22"/>
              </w:rPr>
              <w:t>Uso del Indicador</w:t>
            </w:r>
          </w:p>
        </w:tc>
        <w:tc>
          <w:tcPr>
            <w:tcW w:w="6379" w:type="dxa"/>
          </w:tcPr>
          <w:p w:rsidR="00B41A5D" w:rsidRPr="00F03D75" w:rsidRDefault="00B41A5D" w:rsidP="00967E30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 w:val="20"/>
                <w:lang w:val="es-ES_tradnl"/>
              </w:rPr>
            </w:pPr>
            <w:r w:rsidRPr="00F03D75">
              <w:rPr>
                <w:rFonts w:asciiTheme="minorHAnsi" w:hAnsiTheme="minorHAnsi" w:cstheme="minorHAnsi"/>
                <w:sz w:val="20"/>
                <w:lang w:val="es-ES_tradnl"/>
              </w:rPr>
              <w:t>Las tendencias de los nacimientos, junto con las muertes y la migración poblacional, son los tres factores causantes de la variación poblacional, que determinan el crecimiento y disminución de la población, y son los principales factores que determinan su composición futura.</w:t>
            </w:r>
            <w:r w:rsidR="00531F24" w:rsidRPr="00F03D75">
              <w:rPr>
                <w:rFonts w:asciiTheme="minorHAnsi" w:hAnsiTheme="minorHAnsi" w:cstheme="minorHAnsi"/>
                <w:sz w:val="20"/>
                <w:lang w:val="es-ES_tradnl"/>
              </w:rPr>
              <w:t xml:space="preserve">  Este indicador permite evaluar la oportunidad del registro de los nacimientos en el país.</w:t>
            </w:r>
          </w:p>
        </w:tc>
      </w:tr>
      <w:tr w:rsidR="00B0731B" w:rsidRPr="00F03D75" w:rsidTr="004B6FE6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B0731B" w:rsidRPr="00F03D75" w:rsidTr="004B6FE6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szCs w:val="22"/>
                <w:lang w:eastAsia="es-ES"/>
              </w:rPr>
              <w:t xml:space="preserve">Información </w:t>
            </w:r>
            <w:proofErr w:type="spellStart"/>
            <w:r w:rsidRPr="00F03D75">
              <w:rPr>
                <w:rFonts w:asciiTheme="minorHAnsi" w:hAnsiTheme="minorHAnsi" w:cs="Arial"/>
                <w:szCs w:val="22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B0731B" w:rsidRPr="00F03D75" w:rsidRDefault="00B0731B" w:rsidP="007F5645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32491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B0731B" w:rsidRPr="00F03D75" w:rsidTr="004B6FE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elaboración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B0731B" w:rsidP="00C0466B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 w:val="20"/>
              </w:rPr>
            </w:pPr>
            <w:r w:rsidRPr="00F03D75">
              <w:rPr>
                <w:rFonts w:asciiTheme="minorHAnsi" w:hAnsiTheme="minorHAnsi" w:cs="Helvetica"/>
                <w:color w:val="000000"/>
                <w:sz w:val="20"/>
              </w:rPr>
              <w:t>8</w:t>
            </w:r>
            <w:r w:rsidR="00825FEE">
              <w:rPr>
                <w:rFonts w:asciiTheme="minorHAnsi" w:hAnsiTheme="minorHAnsi" w:cs="Helvetica"/>
                <w:color w:val="000000"/>
                <w:sz w:val="20"/>
              </w:rPr>
              <w:t xml:space="preserve"> de</w:t>
            </w:r>
            <w:r w:rsidRPr="00F03D75">
              <w:rPr>
                <w:rFonts w:asciiTheme="minorHAnsi" w:hAnsiTheme="minorHAnsi" w:cs="Helvetica"/>
                <w:color w:val="000000"/>
                <w:sz w:val="20"/>
              </w:rPr>
              <w:t xml:space="preserve"> junio de 2012.</w:t>
            </w:r>
          </w:p>
        </w:tc>
      </w:tr>
      <w:tr w:rsidR="00B0731B" w:rsidRPr="00F03D75" w:rsidTr="004B6FE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B0731B" w:rsidRPr="00F03D75" w:rsidRDefault="00B0731B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Cs w:val="22"/>
                <w:lang w:eastAsia="es-ES"/>
              </w:rPr>
            </w:pPr>
            <w:r w:rsidRPr="00F03D75">
              <w:rPr>
                <w:rFonts w:asciiTheme="minorHAnsi" w:hAnsiTheme="minorHAnsi" w:cs="Arial"/>
                <w:bCs w:val="0"/>
                <w:szCs w:val="22"/>
                <w:lang w:eastAsia="es-ES"/>
              </w:rPr>
              <w:t>Fecha de actualización de la ficha:</w:t>
            </w:r>
          </w:p>
          <w:p w:rsidR="00B0731B" w:rsidRPr="00F03D75" w:rsidRDefault="00B0731B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  <w:tc>
          <w:tcPr>
            <w:tcW w:w="6379" w:type="dxa"/>
          </w:tcPr>
          <w:p w:rsidR="00B0731B" w:rsidRPr="00F03D75" w:rsidRDefault="00825FEE" w:rsidP="00C0466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22 de Junio de 2012</w:t>
            </w:r>
          </w:p>
        </w:tc>
      </w:tr>
    </w:tbl>
    <w:p w:rsidR="00763F46" w:rsidRPr="00F03D75" w:rsidRDefault="00763F46" w:rsidP="00C25ED6">
      <w:pPr>
        <w:jc w:val="both"/>
        <w:rPr>
          <w:rFonts w:asciiTheme="minorHAnsi" w:hAnsiTheme="minorHAnsi"/>
          <w:szCs w:val="22"/>
          <w:lang w:val="es-CL"/>
        </w:rPr>
      </w:pPr>
    </w:p>
    <w:sectPr w:rsidR="00763F46" w:rsidRPr="00F03D75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CE8" w:rsidRDefault="00EF7CE8" w:rsidP="00FC47BC">
      <w:r>
        <w:separator/>
      </w:r>
    </w:p>
  </w:endnote>
  <w:endnote w:type="continuationSeparator" w:id="0">
    <w:p w:rsidR="00EF7CE8" w:rsidRDefault="00EF7CE8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73429B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CE8" w:rsidRDefault="00EF7CE8" w:rsidP="00FC47BC">
      <w:r>
        <w:separator/>
      </w:r>
    </w:p>
  </w:footnote>
  <w:footnote w:type="continuationSeparator" w:id="0">
    <w:p w:rsidR="00EF7CE8" w:rsidRDefault="00EF7CE8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211AC"/>
    <w:rsid w:val="0002306B"/>
    <w:rsid w:val="00023249"/>
    <w:rsid w:val="000632EE"/>
    <w:rsid w:val="00067746"/>
    <w:rsid w:val="00092863"/>
    <w:rsid w:val="0009330E"/>
    <w:rsid w:val="000950CA"/>
    <w:rsid w:val="000A3CEE"/>
    <w:rsid w:val="000E3E18"/>
    <w:rsid w:val="000E3F2C"/>
    <w:rsid w:val="000E4E2B"/>
    <w:rsid w:val="000E71D9"/>
    <w:rsid w:val="000F246B"/>
    <w:rsid w:val="000F31BF"/>
    <w:rsid w:val="00100A4E"/>
    <w:rsid w:val="00105CCA"/>
    <w:rsid w:val="00117DD8"/>
    <w:rsid w:val="0015191A"/>
    <w:rsid w:val="00193950"/>
    <w:rsid w:val="001A0B9F"/>
    <w:rsid w:val="001A5616"/>
    <w:rsid w:val="001C2273"/>
    <w:rsid w:val="001D0BEB"/>
    <w:rsid w:val="001D67EF"/>
    <w:rsid w:val="001E081C"/>
    <w:rsid w:val="001E2B29"/>
    <w:rsid w:val="001E6EB2"/>
    <w:rsid w:val="001F1F8C"/>
    <w:rsid w:val="001F30DF"/>
    <w:rsid w:val="001F36B3"/>
    <w:rsid w:val="001F7D77"/>
    <w:rsid w:val="00206232"/>
    <w:rsid w:val="002114DA"/>
    <w:rsid w:val="00223FD8"/>
    <w:rsid w:val="00224890"/>
    <w:rsid w:val="00231A35"/>
    <w:rsid w:val="00242948"/>
    <w:rsid w:val="00245C0D"/>
    <w:rsid w:val="002462D6"/>
    <w:rsid w:val="002562B2"/>
    <w:rsid w:val="0026289F"/>
    <w:rsid w:val="00273A8D"/>
    <w:rsid w:val="00280F9C"/>
    <w:rsid w:val="002A61FB"/>
    <w:rsid w:val="002C2B39"/>
    <w:rsid w:val="002E29BC"/>
    <w:rsid w:val="002F6A2C"/>
    <w:rsid w:val="00300C72"/>
    <w:rsid w:val="00324918"/>
    <w:rsid w:val="00325832"/>
    <w:rsid w:val="0036065B"/>
    <w:rsid w:val="00367D62"/>
    <w:rsid w:val="003778A6"/>
    <w:rsid w:val="00387B22"/>
    <w:rsid w:val="003954AA"/>
    <w:rsid w:val="003A14AE"/>
    <w:rsid w:val="003A195D"/>
    <w:rsid w:val="003A76D6"/>
    <w:rsid w:val="003B197E"/>
    <w:rsid w:val="003B6A0C"/>
    <w:rsid w:val="003C4DDF"/>
    <w:rsid w:val="003D2B37"/>
    <w:rsid w:val="003D7DB2"/>
    <w:rsid w:val="003E3D46"/>
    <w:rsid w:val="003E74EA"/>
    <w:rsid w:val="003F340A"/>
    <w:rsid w:val="004038FC"/>
    <w:rsid w:val="00405E63"/>
    <w:rsid w:val="004110E0"/>
    <w:rsid w:val="00413F47"/>
    <w:rsid w:val="00424D3F"/>
    <w:rsid w:val="0044064F"/>
    <w:rsid w:val="00443351"/>
    <w:rsid w:val="00443A5E"/>
    <w:rsid w:val="004657A5"/>
    <w:rsid w:val="00465A6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6FE6"/>
    <w:rsid w:val="004C75EA"/>
    <w:rsid w:val="004D3FA0"/>
    <w:rsid w:val="00501E7D"/>
    <w:rsid w:val="00505B58"/>
    <w:rsid w:val="00511A7E"/>
    <w:rsid w:val="0051418C"/>
    <w:rsid w:val="00514A3B"/>
    <w:rsid w:val="00527641"/>
    <w:rsid w:val="00531260"/>
    <w:rsid w:val="00531F24"/>
    <w:rsid w:val="00534E1F"/>
    <w:rsid w:val="00535F4B"/>
    <w:rsid w:val="00541C3C"/>
    <w:rsid w:val="00547374"/>
    <w:rsid w:val="00557F3D"/>
    <w:rsid w:val="0058564D"/>
    <w:rsid w:val="00587537"/>
    <w:rsid w:val="0059188B"/>
    <w:rsid w:val="00594236"/>
    <w:rsid w:val="005B54E6"/>
    <w:rsid w:val="005E2BDD"/>
    <w:rsid w:val="005F4F64"/>
    <w:rsid w:val="005F610C"/>
    <w:rsid w:val="005F7391"/>
    <w:rsid w:val="00600B14"/>
    <w:rsid w:val="0060636A"/>
    <w:rsid w:val="00610265"/>
    <w:rsid w:val="0061512F"/>
    <w:rsid w:val="006302E9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903EF"/>
    <w:rsid w:val="006918B8"/>
    <w:rsid w:val="006A6987"/>
    <w:rsid w:val="006B15A0"/>
    <w:rsid w:val="006B548E"/>
    <w:rsid w:val="006C470A"/>
    <w:rsid w:val="006D50BB"/>
    <w:rsid w:val="006E0F74"/>
    <w:rsid w:val="006F2E56"/>
    <w:rsid w:val="007003D8"/>
    <w:rsid w:val="00701991"/>
    <w:rsid w:val="00703691"/>
    <w:rsid w:val="00704E08"/>
    <w:rsid w:val="00720872"/>
    <w:rsid w:val="0072291C"/>
    <w:rsid w:val="0073429B"/>
    <w:rsid w:val="00736464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C41A9"/>
    <w:rsid w:val="007F1B36"/>
    <w:rsid w:val="007F5483"/>
    <w:rsid w:val="00805A66"/>
    <w:rsid w:val="00810A9F"/>
    <w:rsid w:val="0081482C"/>
    <w:rsid w:val="008258C4"/>
    <w:rsid w:val="00825FEE"/>
    <w:rsid w:val="00832A32"/>
    <w:rsid w:val="00833308"/>
    <w:rsid w:val="008336F1"/>
    <w:rsid w:val="00841D6E"/>
    <w:rsid w:val="0084318A"/>
    <w:rsid w:val="008460D9"/>
    <w:rsid w:val="00846F15"/>
    <w:rsid w:val="00851975"/>
    <w:rsid w:val="008560FF"/>
    <w:rsid w:val="00864D95"/>
    <w:rsid w:val="00865E5D"/>
    <w:rsid w:val="00877603"/>
    <w:rsid w:val="00891933"/>
    <w:rsid w:val="00894BB9"/>
    <w:rsid w:val="008952B3"/>
    <w:rsid w:val="008A5C61"/>
    <w:rsid w:val="008D2ACE"/>
    <w:rsid w:val="00911846"/>
    <w:rsid w:val="0092495F"/>
    <w:rsid w:val="0092739B"/>
    <w:rsid w:val="009501EF"/>
    <w:rsid w:val="00955B28"/>
    <w:rsid w:val="009815E0"/>
    <w:rsid w:val="00983F91"/>
    <w:rsid w:val="009850EF"/>
    <w:rsid w:val="00996665"/>
    <w:rsid w:val="00997DCC"/>
    <w:rsid w:val="009A3E13"/>
    <w:rsid w:val="009A7143"/>
    <w:rsid w:val="009B0489"/>
    <w:rsid w:val="009C37F2"/>
    <w:rsid w:val="009E7A02"/>
    <w:rsid w:val="00A11EA0"/>
    <w:rsid w:val="00A261B0"/>
    <w:rsid w:val="00A44B73"/>
    <w:rsid w:val="00A5611B"/>
    <w:rsid w:val="00A56FB9"/>
    <w:rsid w:val="00A63B8F"/>
    <w:rsid w:val="00A75223"/>
    <w:rsid w:val="00A76496"/>
    <w:rsid w:val="00A85A4C"/>
    <w:rsid w:val="00A8771C"/>
    <w:rsid w:val="00A90F8A"/>
    <w:rsid w:val="00AB22FA"/>
    <w:rsid w:val="00AB76EF"/>
    <w:rsid w:val="00AD7052"/>
    <w:rsid w:val="00AE7D07"/>
    <w:rsid w:val="00AF11CF"/>
    <w:rsid w:val="00AF5F35"/>
    <w:rsid w:val="00B0731B"/>
    <w:rsid w:val="00B256F2"/>
    <w:rsid w:val="00B32FB8"/>
    <w:rsid w:val="00B40889"/>
    <w:rsid w:val="00B41A5D"/>
    <w:rsid w:val="00B50C20"/>
    <w:rsid w:val="00B50D96"/>
    <w:rsid w:val="00B57CAA"/>
    <w:rsid w:val="00B74C88"/>
    <w:rsid w:val="00B74CA2"/>
    <w:rsid w:val="00B81093"/>
    <w:rsid w:val="00B918F2"/>
    <w:rsid w:val="00BA10A4"/>
    <w:rsid w:val="00BA1539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5ED6"/>
    <w:rsid w:val="00C275B8"/>
    <w:rsid w:val="00C41E16"/>
    <w:rsid w:val="00C43547"/>
    <w:rsid w:val="00C50806"/>
    <w:rsid w:val="00C51DCC"/>
    <w:rsid w:val="00C57511"/>
    <w:rsid w:val="00C77189"/>
    <w:rsid w:val="00C80A4A"/>
    <w:rsid w:val="00CA2CC7"/>
    <w:rsid w:val="00CB39CA"/>
    <w:rsid w:val="00CC5792"/>
    <w:rsid w:val="00CE5D5E"/>
    <w:rsid w:val="00CF34BE"/>
    <w:rsid w:val="00D00C56"/>
    <w:rsid w:val="00D056DD"/>
    <w:rsid w:val="00D1209C"/>
    <w:rsid w:val="00D219A3"/>
    <w:rsid w:val="00D23643"/>
    <w:rsid w:val="00D341AB"/>
    <w:rsid w:val="00D60788"/>
    <w:rsid w:val="00D62453"/>
    <w:rsid w:val="00D64AB5"/>
    <w:rsid w:val="00D661A8"/>
    <w:rsid w:val="00D6674E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E28E6"/>
    <w:rsid w:val="00DE6F0F"/>
    <w:rsid w:val="00DE7F4F"/>
    <w:rsid w:val="00DF15A4"/>
    <w:rsid w:val="00DF5C11"/>
    <w:rsid w:val="00E0032D"/>
    <w:rsid w:val="00E40D10"/>
    <w:rsid w:val="00E42442"/>
    <w:rsid w:val="00E825B7"/>
    <w:rsid w:val="00E864F0"/>
    <w:rsid w:val="00EA15F1"/>
    <w:rsid w:val="00EA18DE"/>
    <w:rsid w:val="00EA3240"/>
    <w:rsid w:val="00EA4244"/>
    <w:rsid w:val="00EB1D87"/>
    <w:rsid w:val="00EB68DB"/>
    <w:rsid w:val="00EC5B27"/>
    <w:rsid w:val="00ED1949"/>
    <w:rsid w:val="00EE276F"/>
    <w:rsid w:val="00EE333C"/>
    <w:rsid w:val="00EF077C"/>
    <w:rsid w:val="00EF7CE8"/>
    <w:rsid w:val="00EF7FEE"/>
    <w:rsid w:val="00F0103F"/>
    <w:rsid w:val="00F0188C"/>
    <w:rsid w:val="00F03D75"/>
    <w:rsid w:val="00F11765"/>
    <w:rsid w:val="00F34200"/>
    <w:rsid w:val="00F5519B"/>
    <w:rsid w:val="00F87BCB"/>
    <w:rsid w:val="00F90A80"/>
    <w:rsid w:val="00F91A91"/>
    <w:rsid w:val="00FA47B2"/>
    <w:rsid w:val="00FB52CC"/>
    <w:rsid w:val="00FC47BC"/>
    <w:rsid w:val="00FD08E7"/>
    <w:rsid w:val="00FE2CEC"/>
    <w:rsid w:val="00FF66FA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4038F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8FC"/>
    <w:rPr>
      <w:rFonts w:ascii="Tahoma" w:eastAsia="Times New Roman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B41A5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7297F-71CB-47DA-84C3-8DE6C28CA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nlcardenas</cp:lastModifiedBy>
  <cp:revision>12</cp:revision>
  <dcterms:created xsi:type="dcterms:W3CDTF">2012-06-15T20:41:00Z</dcterms:created>
  <dcterms:modified xsi:type="dcterms:W3CDTF">2012-06-25T22:39:00Z</dcterms:modified>
</cp:coreProperties>
</file>